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宋体" w:hAnsi="宋体" w:eastAsia="宋体" w:cs="仿宋_GB2312"/>
          <w:b/>
          <w:kern w:val="0"/>
          <w:sz w:val="44"/>
          <w:szCs w:val="44"/>
        </w:rPr>
      </w:pPr>
      <w:r>
        <w:rPr>
          <w:rFonts w:hint="eastAsia" w:ascii="宋体" w:hAnsi="宋体" w:eastAsia="宋体" w:cs="仿宋_GB2312"/>
          <w:b/>
          <w:kern w:val="0"/>
          <w:sz w:val="44"/>
          <w:szCs w:val="44"/>
        </w:rPr>
        <w:t>201</w:t>
      </w:r>
      <w:r>
        <w:rPr>
          <w:rFonts w:hint="eastAsia" w:ascii="宋体" w:hAnsi="宋体" w:eastAsia="宋体" w:cs="仿宋_GB2312"/>
          <w:b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仿宋_GB2312"/>
          <w:b/>
          <w:kern w:val="0"/>
          <w:sz w:val="44"/>
          <w:szCs w:val="44"/>
        </w:rPr>
        <w:t>年顺河区本级“三公”经费</w:t>
      </w:r>
    </w:p>
    <w:p>
      <w:pPr>
        <w:adjustRightInd w:val="0"/>
        <w:snapToGrid w:val="0"/>
        <w:spacing w:line="500" w:lineRule="exact"/>
        <w:jc w:val="center"/>
        <w:rPr>
          <w:rFonts w:hint="default" w:ascii="宋体" w:hAnsi="宋体" w:eastAsia="宋体" w:cs="仿宋_GB2312"/>
          <w:sz w:val="44"/>
          <w:szCs w:val="44"/>
          <w:lang w:val="en-US" w:eastAsia="zh-CN"/>
        </w:rPr>
      </w:pPr>
      <w:r>
        <w:rPr>
          <w:rFonts w:hint="eastAsia" w:ascii="宋体" w:hAnsi="宋体" w:eastAsia="宋体" w:cs="仿宋_GB2312"/>
          <w:b/>
          <w:kern w:val="0"/>
          <w:sz w:val="44"/>
          <w:szCs w:val="44"/>
        </w:rPr>
        <w:t>决算</w:t>
      </w:r>
      <w:r>
        <w:rPr>
          <w:rFonts w:hint="eastAsia" w:ascii="宋体" w:hAnsi="宋体" w:eastAsia="宋体" w:cs="仿宋_GB2312"/>
          <w:b/>
          <w:kern w:val="0"/>
          <w:sz w:val="44"/>
          <w:szCs w:val="44"/>
          <w:lang w:val="en-US" w:eastAsia="zh-CN"/>
        </w:rPr>
        <w:t>情况说明</w:t>
      </w:r>
    </w:p>
    <w:p>
      <w:pPr>
        <w:shd w:val="solid" w:color="FFFFFF" w:fill="auto"/>
        <w:autoSpaceDN w:val="0"/>
        <w:spacing w:line="500" w:lineRule="exact"/>
        <w:ind w:firstLine="480"/>
        <w:rPr>
          <w:rFonts w:hAnsi="仿宋_GB2312" w:cs="仿宋_GB2312"/>
          <w:color w:val="000000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hAnsi="仿宋_GB2312" w:cs="仿宋_GB2312"/>
          <w:color w:val="000000"/>
          <w:szCs w:val="32"/>
          <w:shd w:val="clear" w:color="auto" w:fill="FFFFFF"/>
        </w:rPr>
      </w:pPr>
      <w:r>
        <w:rPr>
          <w:rFonts w:hint="eastAsia" w:hAnsi="仿宋_GB2312" w:cs="仿宋_GB2312"/>
          <w:color w:val="000000"/>
          <w:szCs w:val="32"/>
          <w:shd w:val="clear" w:color="auto" w:fill="FFFFFF"/>
        </w:rPr>
        <w:t>根据《河南省人民政府办公厅关于进一步深化全省部门预算改革的通知》（豫政办</w:t>
      </w:r>
      <w:r>
        <w:rPr>
          <w:rFonts w:hint="eastAsia" w:ascii="Arial Unicode MS" w:hAnsi="Arial Unicode MS" w:eastAsia="Arial Unicode MS" w:cs="Arial Unicode MS"/>
          <w:color w:val="000000"/>
          <w:szCs w:val="32"/>
          <w:shd w:val="clear" w:color="auto" w:fill="FFFFFF"/>
        </w:rPr>
        <w:t>〔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2011</w:t>
      </w:r>
      <w:r>
        <w:rPr>
          <w:rFonts w:hint="eastAsia" w:ascii="Arial Unicode MS" w:hAnsi="Arial Unicode MS" w:eastAsia="Arial Unicode MS" w:cs="Arial Unicode MS"/>
          <w:color w:val="000000"/>
          <w:szCs w:val="32"/>
          <w:shd w:val="clear" w:color="auto" w:fill="FFFFFF"/>
        </w:rPr>
        <w:t>〕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105号）要求，从2012年起各级财政部门向社会公开本级“三公”经费预决算支出。</w:t>
      </w:r>
    </w:p>
    <w:p>
      <w:pPr>
        <w:shd w:val="solid" w:color="FFFFFF" w:fill="auto"/>
        <w:autoSpaceDN w:val="0"/>
        <w:spacing w:line="560" w:lineRule="exact"/>
        <w:ind w:firstLine="640" w:firstLineChars="200"/>
        <w:rPr>
          <w:rFonts w:hAnsi="仿宋_GB2312" w:cs="仿宋_GB2312"/>
          <w:color w:val="000000"/>
          <w:szCs w:val="32"/>
          <w:shd w:val="clear" w:color="auto" w:fill="FFFFFF"/>
        </w:rPr>
      </w:pPr>
      <w:r>
        <w:rPr>
          <w:rFonts w:hint="eastAsia" w:hAnsi="仿宋_GB2312" w:cs="仿宋_GB2312"/>
          <w:color w:val="000000"/>
          <w:szCs w:val="32"/>
          <w:shd w:val="clear" w:color="auto" w:fill="FFFFFF"/>
        </w:rPr>
        <w:t>201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9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年顺河区认真实行部门预算制度，大力压缩“人、车、会、费”等支出，严格控制“三公经费”支出。经汇总区本级部门决算，201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9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年顺河区本级“三公”经费决算支出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203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万元，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比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年初预算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减少45万元，下降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的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18.2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%，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比上年决算增加6万元，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同比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增长3.05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%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eastAsia="zh-CN"/>
        </w:rPr>
        <w:t>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减少的原因主要是严格控制三公经费支出预算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。当年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因公出国出境费支出5万元，比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年初预算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减少15万元，下降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的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75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%，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比上年决算增加5万元；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公务接待费支出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63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万元，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比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年初预算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减少60万元，下降48.8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%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eastAsia="zh-CN"/>
        </w:rPr>
        <w:t>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比上年决算减少18万元，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同比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下降22.2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%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eastAsia="zh-CN"/>
        </w:rPr>
        <w:t>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减少的原因是落实上级政策大力压减接待费支出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eastAsia="zh-CN"/>
        </w:rPr>
        <w:t>；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公务用车购置及运行维护费支出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135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万元，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比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年初预算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增加30万元，增长28.57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%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eastAsia="zh-CN"/>
        </w:rPr>
        <w:t>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比上年决算增加19万元，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同比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增长16.38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%。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eastAsia="zh-CN"/>
        </w:rPr>
        <w:t>（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其中公务用车运行维护费支出86万元，比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年初预算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增加28万元，增长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的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48.3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%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eastAsia="zh-CN"/>
        </w:rPr>
        <w:t>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支出比预算</w:t>
      </w:r>
      <w:bookmarkStart w:id="0" w:name="_GoBack"/>
      <w:bookmarkEnd w:id="0"/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增加的原因是部分预算单位车辆老化运行维护费用增加，年初未足额纳入预算，比上年决算减少14万元，下降14%，减少原因是压缩运行支出，公务用车购置支出49万元，比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年初预算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增加2万元，增长4.3</w:t>
      </w:r>
      <w:r>
        <w:rPr>
          <w:rFonts w:hint="eastAsia" w:hAnsi="仿宋_GB2312" w:cs="仿宋_GB2312"/>
          <w:color w:val="000000"/>
          <w:szCs w:val="32"/>
          <w:shd w:val="clear" w:color="auto" w:fill="FFFFFF"/>
        </w:rPr>
        <w:t>%，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val="en-US" w:eastAsia="zh-CN"/>
        </w:rPr>
        <w:t>比上年决算增加33万元，增加原因是部分单位增加业务用车</w:t>
      </w:r>
      <w:r>
        <w:rPr>
          <w:rFonts w:hint="eastAsia" w:hAnsi="仿宋_GB2312" w:cs="仿宋_GB2312"/>
          <w:color w:val="000000"/>
          <w:szCs w:val="32"/>
          <w:shd w:val="clear" w:color="auto" w:fill="FFFFFF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73905"/>
    <w:rsid w:val="1A7A6D1D"/>
    <w:rsid w:val="28BB1E03"/>
    <w:rsid w:val="2BD35F5D"/>
    <w:rsid w:val="32BD39FE"/>
    <w:rsid w:val="345D163F"/>
    <w:rsid w:val="3756354D"/>
    <w:rsid w:val="3CF350ED"/>
    <w:rsid w:val="77917B49"/>
    <w:rsid w:val="7A9C4C02"/>
    <w:rsid w:val="7F522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2018-09-03T23:42:00Z</dcterms:created>
  <dc:creator>lenovo</dc:creator>
  <cp:lastModifiedBy>wuliweiwei.</cp:lastModifiedBy>
  <cp:lastPrinted>2020-11-15T11:45:00Z</cp:lastPrinted>
  <dcterms:modified xsi:type="dcterms:W3CDTF">2020-11-15T13:14:40Z</dcterms:modified>
  <dc:title>2017年顺河区本级“三公”经费决算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